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Rules of engagement: [test name]</w:t>
      </w:r>
    </w:p>
    <w:p>
      <w:r>
        <w:rPr>
          <w:i/>
        </w:rPr>
        <w:t>Week 7. No testing starts until this is signed by someone with authority over every system in scope. Practise only on labs you are permitted to use.</w:t>
      </w:r>
    </w:p>
    <w:p>
      <w:pPr>
        <w:pStyle w:val="Heading1"/>
      </w:pPr>
      <w:r>
        <w:t>Parties</w:t>
      </w:r>
    </w:p>
    <w:p>
      <w:pPr>
        <w:pStyle w:val="ListBullet"/>
      </w:pPr>
      <w:r>
        <w:t>Client and authorising person (name, role, contact)</w:t>
      </w:r>
    </w:p>
    <w:p>
      <w:pPr>
        <w:pStyle w:val="ListBullet"/>
      </w:pPr>
      <w:r>
        <w:t>Tester(s)</w:t>
      </w:r>
    </w:p>
    <w:p>
      <w:pPr>
        <w:pStyle w:val="Heading1"/>
      </w:pPr>
      <w:r>
        <w:t>Scope</w:t>
      </w:r>
    </w:p>
    <w:p>
      <w:pPr>
        <w:pStyle w:val="ListBullet"/>
      </w:pPr>
      <w:r>
        <w:t>In scope: exact hosts, IP ranges, URLs, applications</w:t>
      </w:r>
    </w:p>
    <w:p>
      <w:pPr>
        <w:pStyle w:val="ListBullet"/>
      </w:pPr>
      <w:r>
        <w:t>Out of scope: everything else, explicitly listed where useful</w:t>
      </w:r>
    </w:p>
    <w:p>
      <w:pPr>
        <w:pStyle w:val="Heading1"/>
      </w:pPr>
      <w:r>
        <w:t>Allowed and not allowed</w:t>
      </w:r>
    </w:p>
    <w:p>
      <w:pPr>
        <w:pStyle w:val="ListBullet"/>
      </w:pPr>
      <w:r>
        <w:t>Allowed techniques</w:t>
      </w:r>
    </w:p>
    <w:p>
      <w:pPr>
        <w:pStyle w:val="ListBullet"/>
      </w:pPr>
      <w:r>
        <w:t>Not allowed: denial of service, social engineering, physical access, data exfiltration beyond proof (unless stated)</w:t>
      </w:r>
    </w:p>
    <w:p>
      <w:pPr>
        <w:pStyle w:val="Heading1"/>
      </w:pPr>
      <w:r>
        <w:t>Timing</w:t>
      </w:r>
    </w:p>
    <w:p>
      <w:pPr>
        <w:pStyle w:val="ListBullet"/>
      </w:pPr>
      <w:r>
        <w:t>Start and end dates and hours</w:t>
      </w:r>
    </w:p>
    <w:p>
      <w:pPr>
        <w:pStyle w:val="ListBullet"/>
      </w:pPr>
      <w:r>
        <w:t>Blackout periods</w:t>
      </w:r>
    </w:p>
    <w:p>
      <w:pPr>
        <w:pStyle w:val="Heading1"/>
      </w:pPr>
      <w:r>
        <w:t>Data handling</w:t>
      </w:r>
    </w:p>
    <w:p>
      <w:pPr>
        <w:pStyle w:val="ListBullet"/>
      </w:pPr>
      <w:r>
        <w:t>How findings and any data seen are stored, shared and destroyed</w:t>
      </w:r>
    </w:p>
    <w:p>
      <w:pPr>
        <w:pStyle w:val="Heading1"/>
      </w:pPr>
      <w:r>
        <w:t>Communication</w:t>
      </w:r>
    </w:p>
    <w:p>
      <w:pPr>
        <w:pStyle w:val="ListBullet"/>
      </w:pPr>
      <w:r>
        <w:t>Emergency contact; stop-test procedure; how critical findings are reported immediately</w:t>
      </w:r>
    </w:p>
    <w:p>
      <w:pPr>
        <w:pStyle w:val="Heading1"/>
      </w:pPr>
      <w:r>
        <w:t>Authorisation</w:t>
      </w:r>
    </w:p>
    <w:p>
      <w:pPr>
        <w:pStyle w:val="ListBullet"/>
      </w:pPr>
      <w:r>
        <w:t>Signed and dated by the client's authorised person and the tester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